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1A" w:rsidRDefault="006F4F1A" w:rsidP="00DF51B3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2072D6" w:rsidRPr="006F4F1A" w:rsidRDefault="00DF51B3" w:rsidP="00DF51B3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REGIME FISCALE FORFETTARIO 2020</w:t>
      </w:r>
    </w:p>
    <w:p w:rsidR="00DF51B3" w:rsidRPr="006F4F1A" w:rsidRDefault="00DF51B3" w:rsidP="002072D6">
      <w:pPr>
        <w:spacing w:after="0" w:line="360" w:lineRule="auto"/>
        <w:jc w:val="both"/>
        <w:rPr>
          <w:rFonts w:ascii="Arial Narrow" w:hAnsi="Arial Narrow"/>
          <w:b/>
          <w:bCs/>
          <w:i/>
          <w:iCs/>
          <w:color w:val="002060"/>
          <w:sz w:val="28"/>
          <w:szCs w:val="28"/>
        </w:rPr>
      </w:pPr>
    </w:p>
    <w:p w:rsidR="002072D6" w:rsidRPr="006F4F1A" w:rsidRDefault="002072D6" w:rsidP="00DF51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i/>
          <w:iCs/>
          <w:color w:val="002060"/>
          <w:sz w:val="28"/>
          <w:szCs w:val="28"/>
        </w:rPr>
      </w:pPr>
      <w:r w:rsidRPr="006F4F1A">
        <w:rPr>
          <w:rFonts w:ascii="Arial Narrow" w:hAnsi="Arial Narrow"/>
          <w:b/>
          <w:bCs/>
          <w:i/>
          <w:iCs/>
          <w:color w:val="002060"/>
          <w:sz w:val="28"/>
          <w:szCs w:val="28"/>
        </w:rPr>
        <w:t xml:space="preserve">Nuovi requisiti </w:t>
      </w:r>
      <w:proofErr w:type="gramStart"/>
      <w:r w:rsidRPr="006F4F1A">
        <w:rPr>
          <w:rFonts w:ascii="Arial Narrow" w:hAnsi="Arial Narrow"/>
          <w:b/>
          <w:bCs/>
          <w:i/>
          <w:iCs/>
          <w:color w:val="002060"/>
          <w:sz w:val="28"/>
          <w:szCs w:val="28"/>
        </w:rPr>
        <w:t>per  l'accesso</w:t>
      </w:r>
      <w:proofErr w:type="gramEnd"/>
      <w:r w:rsidRPr="006F4F1A">
        <w:rPr>
          <w:rFonts w:ascii="Arial Narrow" w:hAnsi="Arial Narrow"/>
          <w:b/>
          <w:bCs/>
          <w:i/>
          <w:iCs/>
          <w:color w:val="002060"/>
          <w:sz w:val="28"/>
          <w:szCs w:val="28"/>
        </w:rPr>
        <w:t xml:space="preserve"> e la permanenza al Regime Forfettario 2020; </w:t>
      </w:r>
    </w:p>
    <w:p w:rsidR="002072D6" w:rsidRPr="006F4F1A" w:rsidRDefault="00DF51B3" w:rsidP="00DF51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bCs/>
          <w:i/>
          <w:iCs/>
          <w:color w:val="002060"/>
          <w:sz w:val="28"/>
          <w:szCs w:val="28"/>
        </w:rPr>
      </w:pPr>
      <w:r w:rsidRPr="006F4F1A">
        <w:rPr>
          <w:rFonts w:ascii="Arial Narrow" w:hAnsi="Arial Narrow"/>
          <w:b/>
          <w:bCs/>
          <w:i/>
          <w:iCs/>
          <w:color w:val="002060"/>
          <w:sz w:val="28"/>
          <w:szCs w:val="28"/>
        </w:rPr>
        <w:t>C</w:t>
      </w:r>
      <w:r w:rsidR="002072D6" w:rsidRPr="006F4F1A">
        <w:rPr>
          <w:rFonts w:ascii="Arial Narrow" w:hAnsi="Arial Narrow"/>
          <w:b/>
          <w:bCs/>
          <w:i/>
          <w:iCs/>
          <w:color w:val="002060"/>
          <w:sz w:val="28"/>
          <w:szCs w:val="28"/>
        </w:rPr>
        <w:t xml:space="preserve">onferma </w:t>
      </w:r>
      <w:r w:rsidRPr="006F4F1A">
        <w:rPr>
          <w:rFonts w:ascii="Arial Narrow" w:hAnsi="Arial Narrow"/>
          <w:b/>
          <w:bCs/>
          <w:i/>
          <w:iCs/>
          <w:color w:val="002060"/>
          <w:sz w:val="28"/>
          <w:szCs w:val="28"/>
        </w:rPr>
        <w:t>F</w:t>
      </w:r>
      <w:r w:rsidR="002072D6" w:rsidRPr="006F4F1A">
        <w:rPr>
          <w:rFonts w:ascii="Arial Narrow" w:hAnsi="Arial Narrow"/>
          <w:b/>
          <w:bCs/>
          <w:i/>
          <w:iCs/>
          <w:color w:val="002060"/>
          <w:sz w:val="28"/>
          <w:szCs w:val="28"/>
        </w:rPr>
        <w:t>lat tax al 15% per le partite Iva con ricavi fino a 65 mila euro</w:t>
      </w:r>
    </w:p>
    <w:p w:rsidR="00DF51B3" w:rsidRPr="006F4F1A" w:rsidRDefault="00DF51B3" w:rsidP="002072D6">
      <w:pPr>
        <w:spacing w:after="0" w:line="360" w:lineRule="auto"/>
        <w:jc w:val="both"/>
        <w:rPr>
          <w:rFonts w:ascii="Arial Narrow" w:hAnsi="Arial Narrow"/>
          <w:color w:val="002060"/>
          <w:sz w:val="16"/>
          <w:szCs w:val="16"/>
        </w:rPr>
      </w:pP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Con l'approvazione della </w:t>
      </w:r>
      <w:r w:rsidRPr="006F4F1A">
        <w:rPr>
          <w:rFonts w:ascii="Arial Narrow" w:hAnsi="Arial Narrow"/>
          <w:i/>
          <w:color w:val="002060"/>
          <w:sz w:val="28"/>
          <w:szCs w:val="28"/>
        </w:rPr>
        <w:t>legge di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</w:t>
      </w:r>
      <w:r w:rsidRPr="006F4F1A">
        <w:rPr>
          <w:rFonts w:ascii="Arial Narrow" w:hAnsi="Arial Narrow"/>
          <w:i/>
          <w:color w:val="002060"/>
          <w:sz w:val="28"/>
          <w:szCs w:val="28"/>
        </w:rPr>
        <w:t>Bilancio 2020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, viene ridisegnato il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regime forfettario 2020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. </w:t>
      </w:r>
    </w:p>
    <w:p w:rsidR="0015790A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>Vengono reintrodotti alcuni requisiti già previsti fino a</w:t>
      </w:r>
      <w:r w:rsidR="00DF51B3" w:rsidRPr="006F4F1A">
        <w:rPr>
          <w:rFonts w:ascii="Arial Narrow" w:hAnsi="Arial Narrow"/>
          <w:color w:val="002060"/>
          <w:sz w:val="28"/>
          <w:szCs w:val="28"/>
        </w:rPr>
        <w:t>l</w:t>
      </w:r>
      <w:r w:rsidRPr="006F4F1A">
        <w:rPr>
          <w:rFonts w:ascii="Arial Narrow" w:hAnsi="Arial Narrow"/>
          <w:color w:val="002060"/>
          <w:sz w:val="28"/>
          <w:szCs w:val="28"/>
        </w:rPr>
        <w:t>l</w:t>
      </w:r>
      <w:r w:rsidR="00DF51B3" w:rsidRPr="006F4F1A">
        <w:rPr>
          <w:rFonts w:ascii="Arial Narrow" w:hAnsi="Arial Narrow"/>
          <w:color w:val="002060"/>
          <w:sz w:val="28"/>
          <w:szCs w:val="28"/>
        </w:rPr>
        <w:t>’anno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2018, come a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>d esempio:</w:t>
      </w:r>
    </w:p>
    <w:p w:rsidR="0015790A" w:rsidRPr="006F4F1A" w:rsidRDefault="0015790A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>-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 xml:space="preserve"> saranno esclusi i percettori di r</w:t>
      </w:r>
      <w:r w:rsidRPr="006F4F1A">
        <w:rPr>
          <w:rFonts w:ascii="Arial Narrow" w:hAnsi="Arial Narrow"/>
          <w:color w:val="002060"/>
          <w:sz w:val="28"/>
          <w:szCs w:val="28"/>
        </w:rPr>
        <w:t>edditi da lavoro dipendente, o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 xml:space="preserve"> pensione,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nell’anno precedente (2019) 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>superiori a 30 mila euro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(imponibili);</w:t>
      </w:r>
    </w:p>
    <w:p w:rsidR="002072D6" w:rsidRPr="006F4F1A" w:rsidRDefault="0015790A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>- saranno esclusi anche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 xml:space="preserve"> coloro che nell'anno precedente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(2019)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 xml:space="preserve"> hanno sostenuto spese per lavoro dipendente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o assimilati, di prestatori superiori a 20mila euro lordi.               </w:t>
      </w: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Esaminiamo le principali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novità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e indichiamo anche i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problemi </w:t>
      </w:r>
      <w:r w:rsidRPr="006F4F1A">
        <w:rPr>
          <w:rFonts w:ascii="Arial Narrow" w:hAnsi="Arial Narrow"/>
          <w:color w:val="002060"/>
          <w:sz w:val="28"/>
          <w:szCs w:val="28"/>
        </w:rPr>
        <w:t>che possono sorgere per coloro che nel 2019 rientravano nel regime e ora in virtù delle nuove norme sono destinati a perdere i requisiti:</w:t>
      </w:r>
    </w:p>
    <w:p w:rsidR="006F4F1A" w:rsidRPr="006F4F1A" w:rsidRDefault="006F4F1A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Ricavi fino a 65 mila euro</w:t>
      </w:r>
    </w:p>
    <w:p w:rsidR="002072D6" w:rsidRPr="006F4F1A" w:rsidRDefault="002072D6" w:rsidP="0015790A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>Rientr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>er</w:t>
      </w:r>
      <w:r w:rsidRPr="006F4F1A">
        <w:rPr>
          <w:rFonts w:ascii="Arial Narrow" w:hAnsi="Arial Narrow"/>
          <w:color w:val="002060"/>
          <w:sz w:val="28"/>
          <w:szCs w:val="28"/>
        </w:rPr>
        <w:t>a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>n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no nel </w:t>
      </w:r>
      <w:r w:rsidRPr="006F4F1A">
        <w:rPr>
          <w:rFonts w:ascii="Arial Narrow" w:hAnsi="Arial Narrow"/>
          <w:b/>
          <w:color w:val="002060"/>
          <w:sz w:val="28"/>
          <w:szCs w:val="28"/>
        </w:rPr>
        <w:t>forfettario 2020</w:t>
      </w:r>
      <w:r w:rsidR="0015790A" w:rsidRPr="006F4F1A">
        <w:rPr>
          <w:rFonts w:ascii="Arial Narrow" w:hAnsi="Arial Narrow"/>
          <w:b/>
          <w:color w:val="002060"/>
          <w:sz w:val="28"/>
          <w:szCs w:val="28"/>
        </w:rPr>
        <w:t xml:space="preserve">, 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>le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imprese, 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 xml:space="preserve">i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professionisti o altri lavoratori autonomi con partita Iva 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>–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>che nel</w:t>
      </w:r>
      <w:r w:rsidR="00FD5850" w:rsidRPr="006F4F1A">
        <w:rPr>
          <w:rFonts w:ascii="Arial Narrow" w:hAnsi="Arial Narrow"/>
          <w:color w:val="002060"/>
          <w:sz w:val="28"/>
          <w:szCs w:val="28"/>
        </w:rPr>
        <w:t>l’anno precedente (dal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 xml:space="preserve"> 2019</w:t>
      </w:r>
      <w:r w:rsidR="00FD5850" w:rsidRPr="006F4F1A">
        <w:rPr>
          <w:rFonts w:ascii="Arial Narrow" w:hAnsi="Arial Narrow"/>
          <w:color w:val="002060"/>
          <w:sz w:val="28"/>
          <w:szCs w:val="28"/>
        </w:rPr>
        <w:t>)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 xml:space="preserve"> </w:t>
      </w:r>
      <w:r w:rsidRPr="006F4F1A">
        <w:rPr>
          <w:rFonts w:ascii="Arial Narrow" w:hAnsi="Arial Narrow"/>
          <w:color w:val="002060"/>
          <w:sz w:val="28"/>
          <w:szCs w:val="28"/>
        </w:rPr>
        <w:t>hanno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 xml:space="preserve"> </w:t>
      </w:r>
      <w:r w:rsidR="00FD5850" w:rsidRPr="006F4F1A">
        <w:rPr>
          <w:rFonts w:ascii="Arial Narrow" w:hAnsi="Arial Narrow"/>
          <w:color w:val="002060"/>
          <w:sz w:val="28"/>
          <w:szCs w:val="28"/>
        </w:rPr>
        <w:t xml:space="preserve">avuto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ricavi o compensi </w:t>
      </w:r>
      <w:r w:rsidR="0015790A" w:rsidRPr="006F4F1A">
        <w:rPr>
          <w:rFonts w:ascii="Arial Narrow" w:hAnsi="Arial Narrow"/>
          <w:color w:val="002060"/>
          <w:sz w:val="28"/>
          <w:szCs w:val="28"/>
        </w:rPr>
        <w:t xml:space="preserve">non superiori </w:t>
      </w:r>
      <w:r w:rsidRPr="006F4F1A">
        <w:rPr>
          <w:rFonts w:ascii="Arial Narrow" w:hAnsi="Arial Narrow"/>
          <w:color w:val="002060"/>
          <w:sz w:val="28"/>
          <w:szCs w:val="28"/>
        </w:rPr>
        <w:t>a 65 mila euro</w:t>
      </w:r>
      <w:r w:rsidR="00FD5850" w:rsidRPr="006F4F1A">
        <w:rPr>
          <w:rFonts w:ascii="Arial Narrow" w:hAnsi="Arial Narrow"/>
          <w:color w:val="002060"/>
          <w:sz w:val="28"/>
          <w:szCs w:val="28"/>
        </w:rPr>
        <w:t>.</w:t>
      </w:r>
    </w:p>
    <w:p w:rsidR="006F4F1A" w:rsidRPr="006F4F1A" w:rsidRDefault="006F4F1A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Redditi </w:t>
      </w:r>
      <w:r w:rsidR="0015790A"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lavoro dipendente e assimilati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fino a 30 mila euro</w:t>
      </w:r>
    </w:p>
    <w:p w:rsidR="00FD5850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Non potranno </w:t>
      </w:r>
      <w:r w:rsidR="00FD5850" w:rsidRPr="006F4F1A">
        <w:rPr>
          <w:rFonts w:ascii="Arial Narrow" w:hAnsi="Arial Narrow"/>
          <w:color w:val="002060"/>
          <w:sz w:val="28"/>
          <w:szCs w:val="28"/>
        </w:rPr>
        <w:t xml:space="preserve">invece più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accedere </w:t>
      </w:r>
      <w:r w:rsidR="00FD5850" w:rsidRPr="006F4F1A">
        <w:rPr>
          <w:rFonts w:ascii="Arial Narrow" w:hAnsi="Arial Narrow"/>
          <w:color w:val="002060"/>
          <w:sz w:val="28"/>
          <w:szCs w:val="28"/>
        </w:rPr>
        <w:t>o rimanere ne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l forfettario 2020 coloro che nell'anno precedente hanno percepito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redditi di lavoro dipendente</w:t>
      </w:r>
      <w:r w:rsidR="00FD5850" w:rsidRPr="006F4F1A">
        <w:rPr>
          <w:rFonts w:ascii="Arial Narrow" w:hAnsi="Arial Narrow"/>
          <w:b/>
          <w:bCs/>
          <w:color w:val="002060"/>
          <w:sz w:val="28"/>
          <w:szCs w:val="28"/>
        </w:rPr>
        <w:t>/pensione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 </w:t>
      </w:r>
      <w:r w:rsidR="00FD5850" w:rsidRPr="006F4F1A">
        <w:rPr>
          <w:rFonts w:ascii="Arial Narrow" w:hAnsi="Arial Narrow"/>
          <w:b/>
          <w:color w:val="002060"/>
          <w:sz w:val="28"/>
          <w:szCs w:val="28"/>
        </w:rPr>
        <w:t>o</w:t>
      </w:r>
      <w:r w:rsidRPr="006F4F1A">
        <w:rPr>
          <w:rFonts w:ascii="Arial Narrow" w:hAnsi="Arial Narrow"/>
          <w:b/>
          <w:color w:val="002060"/>
          <w:sz w:val="28"/>
          <w:szCs w:val="28"/>
        </w:rPr>
        <w:t xml:space="preserve"> assimilati</w:t>
      </w:r>
      <w:r w:rsidRPr="006F4F1A">
        <w:rPr>
          <w:rFonts w:ascii="Arial Narrow" w:hAnsi="Arial Narrow"/>
          <w:color w:val="002060"/>
          <w:sz w:val="28"/>
          <w:szCs w:val="28"/>
        </w:rPr>
        <w:t>, per un importo complessivo lordo</w:t>
      </w:r>
      <w:r w:rsidR="00DF51B3" w:rsidRPr="006F4F1A">
        <w:rPr>
          <w:rFonts w:ascii="Arial Narrow" w:hAnsi="Arial Narrow"/>
          <w:color w:val="002060"/>
          <w:sz w:val="28"/>
          <w:szCs w:val="28"/>
        </w:rPr>
        <w:t xml:space="preserve"> (imponibile fiscale)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superiore a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30 mila euro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. </w:t>
      </w:r>
    </w:p>
    <w:p w:rsidR="00276454" w:rsidRPr="006F4F1A" w:rsidRDefault="00FD5850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Pertanto molti </w:t>
      </w:r>
      <w:r w:rsidR="00276454" w:rsidRPr="006F4F1A">
        <w:rPr>
          <w:rFonts w:ascii="Arial Narrow" w:hAnsi="Arial Narrow"/>
          <w:b/>
          <w:bCs/>
          <w:color w:val="002060"/>
          <w:sz w:val="28"/>
          <w:szCs w:val="28"/>
        </w:rPr>
        <w:t>lavoratori dipendenti/</w:t>
      </w:r>
      <w:r w:rsidR="002072D6"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pensionati 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 xml:space="preserve">che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nel 2019 erano passati 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>n</w:t>
      </w:r>
      <w:r w:rsidRPr="006F4F1A">
        <w:rPr>
          <w:rFonts w:ascii="Arial Narrow" w:hAnsi="Arial Narrow"/>
          <w:color w:val="002060"/>
          <w:sz w:val="28"/>
          <w:szCs w:val="28"/>
        </w:rPr>
        <w:t>el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 xml:space="preserve"> regime forfettario</w:t>
      </w:r>
      <w:r w:rsidRPr="006F4F1A">
        <w:rPr>
          <w:rFonts w:ascii="Arial Narrow" w:hAnsi="Arial Narrow"/>
          <w:color w:val="002060"/>
          <w:sz w:val="28"/>
          <w:szCs w:val="28"/>
        </w:rPr>
        <w:t>,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 xml:space="preserve"> </w:t>
      </w:r>
      <w:r w:rsidR="00276454" w:rsidRPr="006F4F1A">
        <w:rPr>
          <w:rFonts w:ascii="Arial Narrow" w:hAnsi="Arial Narrow"/>
          <w:color w:val="002060"/>
          <w:sz w:val="28"/>
          <w:szCs w:val="28"/>
        </w:rPr>
        <w:t xml:space="preserve">di fatto nel 2020 saranno costretti alla fuoriuscita 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>d</w:t>
      </w:r>
      <w:r w:rsidR="00276454" w:rsidRPr="006F4F1A">
        <w:rPr>
          <w:rFonts w:ascii="Arial Narrow" w:hAnsi="Arial Narrow"/>
          <w:color w:val="002060"/>
          <w:sz w:val="28"/>
          <w:szCs w:val="28"/>
        </w:rPr>
        <w:t>a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>l regime agevolato</w:t>
      </w:r>
      <w:r w:rsidR="00276454" w:rsidRPr="006F4F1A">
        <w:rPr>
          <w:rFonts w:ascii="Arial Narrow" w:hAnsi="Arial Narrow"/>
          <w:color w:val="002060"/>
          <w:sz w:val="28"/>
          <w:szCs w:val="28"/>
        </w:rPr>
        <w:t>, con qualche problema</w:t>
      </w:r>
      <w:r w:rsidR="006174C8" w:rsidRPr="006F4F1A">
        <w:rPr>
          <w:rFonts w:ascii="Arial Narrow" w:hAnsi="Arial Narrow"/>
          <w:color w:val="002060"/>
          <w:sz w:val="28"/>
          <w:szCs w:val="28"/>
        </w:rPr>
        <w:t xml:space="preserve"> pratico di tassazione inerente le somme ancora da incassare al 1° gennaio 2020</w:t>
      </w:r>
      <w:r w:rsidR="002072D6" w:rsidRPr="006F4F1A">
        <w:rPr>
          <w:rFonts w:ascii="Arial Narrow" w:hAnsi="Arial Narrow"/>
          <w:color w:val="002060"/>
          <w:sz w:val="28"/>
          <w:szCs w:val="28"/>
        </w:rPr>
        <w:t xml:space="preserve">. </w:t>
      </w:r>
    </w:p>
    <w:p w:rsidR="006F4F1A" w:rsidRPr="006F4F1A" w:rsidRDefault="006F4F1A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6F4F1A" w:rsidRDefault="006F4F1A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6F4F1A" w:rsidRDefault="006F4F1A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21F9E" w:rsidRPr="006F4F1A" w:rsidRDefault="002072D6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  <w:bookmarkStart w:id="0" w:name="_GoBack"/>
      <w:bookmarkEnd w:id="0"/>
      <w:r w:rsidRPr="006F4F1A">
        <w:rPr>
          <w:rFonts w:ascii="Arial Narrow" w:hAnsi="Arial Narrow"/>
          <w:b/>
          <w:bCs/>
          <w:color w:val="002060"/>
          <w:sz w:val="28"/>
          <w:szCs w:val="28"/>
        </w:rPr>
        <w:lastRenderedPageBreak/>
        <w:t>Spese dipendenti fino a 20 mila euro</w:t>
      </w:r>
    </w:p>
    <w:p w:rsidR="006174C8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Un altro grosso ostacolo per il nuovo forfettario 2020 sarà costituito dal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limite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introdotto per le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spese di lavoro dipendente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: non dovranno superare i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20 mila euro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complessivi e calcolati al lordo. </w:t>
      </w: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Oltretutto il loro ammontare è riferito non solo al lavoro dipendente in senso stretto ma anche al lavoro accessorio e alle spese derivanti da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contratti a progetto </w:t>
      </w:r>
      <w:r w:rsidRPr="006F4F1A">
        <w:rPr>
          <w:rFonts w:ascii="Arial Narrow" w:hAnsi="Arial Narrow"/>
          <w:color w:val="002060"/>
          <w:sz w:val="28"/>
          <w:szCs w:val="28"/>
        </w:rPr>
        <w:t>o per collaboratori</w:t>
      </w:r>
      <w:r w:rsidR="00DF51B3" w:rsidRPr="006F4F1A">
        <w:rPr>
          <w:rFonts w:ascii="Arial Narrow" w:hAnsi="Arial Narrow"/>
          <w:color w:val="002060"/>
          <w:sz w:val="28"/>
          <w:szCs w:val="28"/>
        </w:rPr>
        <w:t>, tirocinanti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 e borsisti; rientrano anche le somme erogate sotto forma di utili da associazione in partecipazione.</w:t>
      </w: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Anche in questo caso, si tratta di un limite che era stato abolito nel 2019 ed ora reintrodotto. Si tratta di un serio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ostacolo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per imprese o professionisti che si avvalgono di dipendenti o collaboratori e per questo solo fatto, considerato l'ammontare degli stipendi o degli altri compensi contrattualmente stabiliti, vengono escluse dalla possibilità di beneficiare del regime </w:t>
      </w:r>
      <w:r w:rsidR="00DF51B3" w:rsidRPr="006F4F1A">
        <w:rPr>
          <w:rFonts w:ascii="Arial Narrow" w:hAnsi="Arial Narrow"/>
          <w:color w:val="002060"/>
          <w:sz w:val="28"/>
          <w:szCs w:val="28"/>
        </w:rPr>
        <w:t>più favorevole della F</w:t>
      </w:r>
      <w:r w:rsidRPr="006F4F1A">
        <w:rPr>
          <w:rFonts w:ascii="Arial Narrow" w:hAnsi="Arial Narrow"/>
          <w:color w:val="002060"/>
          <w:sz w:val="28"/>
          <w:szCs w:val="28"/>
        </w:rPr>
        <w:t>lat tax.</w:t>
      </w:r>
    </w:p>
    <w:p w:rsidR="006174C8" w:rsidRPr="006F4F1A" w:rsidRDefault="006174C8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b/>
          <w:bCs/>
          <w:color w:val="002060"/>
          <w:sz w:val="28"/>
          <w:szCs w:val="28"/>
        </w:rPr>
      </w:pP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Fattura elettronica incentivata</w:t>
      </w: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Il regime forfettario non comporta l'obbligo di emissione della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fattura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in forma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elettronica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e questa possibilità di continuare ad emetterla in modalità cartacea viene confermata anche per il 2020. Però la legge ha previsto un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incentivo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per chi deciderà di utilizzarla: i forfettari che avranno l'intero fatturato annuo costituito da fatture elettroniche beneficeranno della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riduzione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di un anno del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termine </w:t>
      </w:r>
      <w:r w:rsidR="00DF51B3" w:rsidRPr="006F4F1A">
        <w:rPr>
          <w:rFonts w:ascii="Arial Narrow" w:hAnsi="Arial Narrow"/>
          <w:bCs/>
          <w:color w:val="002060"/>
          <w:sz w:val="28"/>
          <w:szCs w:val="28"/>
        </w:rPr>
        <w:t>q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uinquennale di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>accertamento</w:t>
      </w:r>
      <w:r w:rsidRPr="006F4F1A">
        <w:rPr>
          <w:rFonts w:ascii="Arial Narrow" w:hAnsi="Arial Narrow"/>
          <w:color w:val="002060"/>
          <w:sz w:val="28"/>
          <w:szCs w:val="28"/>
        </w:rPr>
        <w:t>.</w:t>
      </w:r>
    </w:p>
    <w:p w:rsidR="002072D6" w:rsidRPr="006F4F1A" w:rsidRDefault="002072D6" w:rsidP="002072D6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  <w:r w:rsidRPr="006F4F1A">
        <w:rPr>
          <w:rFonts w:ascii="Arial Narrow" w:hAnsi="Arial Narrow"/>
          <w:color w:val="002060"/>
          <w:sz w:val="28"/>
          <w:szCs w:val="28"/>
        </w:rPr>
        <w:t xml:space="preserve">Nei loro confronti quindi il Fisco avrà a disposizione solo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quattro anni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per controllare dichiarazioni e versamenti ed accertare maggiori ricavi o compensi. Però per ottenere questa esenzione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tutto il fatturato </w:t>
      </w:r>
      <w:r w:rsidRPr="006F4F1A">
        <w:rPr>
          <w:rFonts w:ascii="Arial Narrow" w:hAnsi="Arial Narrow"/>
          <w:color w:val="002060"/>
          <w:sz w:val="28"/>
          <w:szCs w:val="28"/>
        </w:rPr>
        <w:t xml:space="preserve">dovrà essere redatto in formato elettronico: non potranno, cioè, esserci alcune fatture elettroniche ed altre cartacee. Dunque la </w:t>
      </w:r>
      <w:r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scelta </w:t>
      </w:r>
      <w:r w:rsidRPr="006F4F1A">
        <w:rPr>
          <w:rFonts w:ascii="Arial Narrow" w:hAnsi="Arial Narrow"/>
          <w:color w:val="002060"/>
          <w:sz w:val="28"/>
          <w:szCs w:val="28"/>
        </w:rPr>
        <w:t>andrà fatta al 1° gennaio per coloro che sono già nel regime, e all'inizio dell'attività per coloro che vi entreranno nel corso dell'anno.</w:t>
      </w:r>
    </w:p>
    <w:p w:rsidR="00DF51B3" w:rsidRPr="006F4F1A" w:rsidRDefault="00DF51B3" w:rsidP="006F4F1A">
      <w:pPr>
        <w:spacing w:after="0" w:line="360" w:lineRule="auto"/>
        <w:jc w:val="both"/>
        <w:rPr>
          <w:rFonts w:ascii="Arial Narrow" w:hAnsi="Arial Narrow"/>
          <w:bCs/>
          <w:color w:val="002060"/>
          <w:sz w:val="28"/>
          <w:szCs w:val="28"/>
        </w:rPr>
      </w:pPr>
      <w:proofErr w:type="gramStart"/>
      <w:r w:rsidRPr="006F4F1A">
        <w:rPr>
          <w:rFonts w:ascii="Arial Narrow" w:hAnsi="Arial Narrow"/>
          <w:color w:val="002060"/>
          <w:sz w:val="28"/>
          <w:szCs w:val="28"/>
        </w:rPr>
        <w:t>E’</w:t>
      </w:r>
      <w:proofErr w:type="gramEnd"/>
      <w:r w:rsidRPr="006F4F1A">
        <w:rPr>
          <w:rFonts w:ascii="Arial Narrow" w:hAnsi="Arial Narrow"/>
          <w:color w:val="002060"/>
          <w:sz w:val="28"/>
          <w:szCs w:val="28"/>
        </w:rPr>
        <w:t xml:space="preserve"> utile ricordare il divieto di emissione </w:t>
      </w:r>
      <w:r w:rsidR="006F4F1A" w:rsidRPr="006F4F1A">
        <w:rPr>
          <w:rFonts w:ascii="Arial Narrow" w:hAnsi="Arial Narrow"/>
          <w:color w:val="002060"/>
          <w:sz w:val="28"/>
          <w:szCs w:val="28"/>
        </w:rPr>
        <w:t xml:space="preserve">della </w:t>
      </w:r>
      <w:r w:rsidR="006F4F1A"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fattura </w:t>
      </w:r>
      <w:r w:rsidR="006F4F1A" w:rsidRPr="006F4F1A">
        <w:rPr>
          <w:rFonts w:ascii="Arial Narrow" w:hAnsi="Arial Narrow"/>
          <w:color w:val="002060"/>
          <w:sz w:val="28"/>
          <w:szCs w:val="28"/>
        </w:rPr>
        <w:t xml:space="preserve">in forma </w:t>
      </w:r>
      <w:r w:rsidR="006F4F1A" w:rsidRPr="006F4F1A">
        <w:rPr>
          <w:rFonts w:ascii="Arial Narrow" w:hAnsi="Arial Narrow"/>
          <w:b/>
          <w:bCs/>
          <w:color w:val="002060"/>
          <w:sz w:val="28"/>
          <w:szCs w:val="28"/>
        </w:rPr>
        <w:t>elettronica</w:t>
      </w:r>
      <w:r w:rsidR="006F4F1A" w:rsidRPr="006F4F1A">
        <w:rPr>
          <w:rFonts w:ascii="Arial Narrow" w:hAnsi="Arial Narrow"/>
          <w:b/>
          <w:bCs/>
          <w:color w:val="002060"/>
          <w:sz w:val="28"/>
          <w:szCs w:val="28"/>
        </w:rPr>
        <w:t xml:space="preserve"> </w:t>
      </w:r>
      <w:r w:rsidR="006F4F1A" w:rsidRPr="006F4F1A">
        <w:rPr>
          <w:rFonts w:ascii="Arial Narrow" w:hAnsi="Arial Narrow"/>
          <w:bCs/>
          <w:color w:val="002060"/>
          <w:sz w:val="28"/>
          <w:szCs w:val="28"/>
        </w:rPr>
        <w:t>per le prestazioni sanitarie, così come disposto anche per il 2020 dal Garante della Privacy, ne deriva quindi che i professionisti “sanitari” non potranno avvalersi di tale possibilità.</w:t>
      </w:r>
    </w:p>
    <w:p w:rsidR="006F4F1A" w:rsidRPr="006F4F1A" w:rsidRDefault="006F4F1A" w:rsidP="006F4F1A">
      <w:pPr>
        <w:spacing w:after="0" w:line="360" w:lineRule="auto"/>
        <w:jc w:val="both"/>
        <w:rPr>
          <w:rFonts w:ascii="Arial Narrow" w:hAnsi="Arial Narrow"/>
          <w:color w:val="002060"/>
          <w:sz w:val="28"/>
          <w:szCs w:val="28"/>
        </w:rPr>
      </w:pPr>
    </w:p>
    <w:sectPr w:rsidR="006F4F1A" w:rsidRPr="006F4F1A" w:rsidSect="006F4F1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CCF"/>
    <w:multiLevelType w:val="hybridMultilevel"/>
    <w:tmpl w:val="598007C2"/>
    <w:lvl w:ilvl="0" w:tplc="535A23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68"/>
    <w:rsid w:val="0015790A"/>
    <w:rsid w:val="002072D6"/>
    <w:rsid w:val="00221F9E"/>
    <w:rsid w:val="00276454"/>
    <w:rsid w:val="00394A68"/>
    <w:rsid w:val="005802E9"/>
    <w:rsid w:val="006174C8"/>
    <w:rsid w:val="006F4F1A"/>
    <w:rsid w:val="008B3F70"/>
    <w:rsid w:val="008F3A9F"/>
    <w:rsid w:val="00DF51B3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0BD4"/>
  <w15:chartTrackingRefBased/>
  <w15:docId w15:val="{BD914AA9-14FA-45CD-AB6C-A833A6D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E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Bardini</dc:creator>
  <cp:keywords/>
  <dc:description/>
  <cp:lastModifiedBy>Dalia Bardini</cp:lastModifiedBy>
  <cp:revision>2</cp:revision>
  <cp:lastPrinted>2019-12-20T12:39:00Z</cp:lastPrinted>
  <dcterms:created xsi:type="dcterms:W3CDTF">2020-01-27T09:41:00Z</dcterms:created>
  <dcterms:modified xsi:type="dcterms:W3CDTF">2020-01-27T09:41:00Z</dcterms:modified>
</cp:coreProperties>
</file>